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146F2" w14:textId="77777777" w:rsidR="006D2226" w:rsidRPr="004C0AA0" w:rsidRDefault="006D2226" w:rsidP="00946699">
      <w:pPr>
        <w:pStyle w:val="NoSpacing1"/>
        <w:snapToGrid/>
        <w:spacing w:line="360" w:lineRule="auto"/>
        <w:rPr>
          <w:rFonts w:ascii="Calibri" w:hAnsi="Calibri"/>
        </w:rPr>
      </w:pPr>
      <w:bookmarkStart w:id="0" w:name="_GoBack"/>
      <w:bookmarkEnd w:id="0"/>
      <w:r w:rsidRPr="004C0AA0">
        <w:rPr>
          <w:rFonts w:ascii="Calibri" w:hAnsi="Calibri"/>
        </w:rPr>
        <w:t>Supplemental Table 2. Perioperative use of opioids</w:t>
      </w:r>
    </w:p>
    <w:tbl>
      <w:tblPr>
        <w:tblW w:w="846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0"/>
        <w:gridCol w:w="1630"/>
        <w:gridCol w:w="1620"/>
        <w:gridCol w:w="1543"/>
        <w:gridCol w:w="977"/>
      </w:tblGrid>
      <w:tr w:rsidR="006D2226" w:rsidRPr="004C0AA0" w14:paraId="6BACE781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008B8E01" w14:textId="77777777" w:rsidR="006D2226" w:rsidRPr="004C0AA0" w:rsidRDefault="006D2226" w:rsidP="001C646A">
            <w:pPr>
              <w:pStyle w:val="NoSpacing1"/>
              <w:snapToGrid/>
              <w:jc w:val="both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Variable</w:t>
            </w:r>
          </w:p>
        </w:tc>
        <w:tc>
          <w:tcPr>
            <w:tcW w:w="1630" w:type="dxa"/>
            <w:vAlign w:val="center"/>
          </w:tcPr>
          <w:p w14:paraId="04D378E9" w14:textId="77777777" w:rsidR="006D2226" w:rsidRPr="004C0AA0" w:rsidRDefault="006D2226" w:rsidP="001C646A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4C0AA0">
              <w:rPr>
                <w:rFonts w:ascii="Calibri" w:hAnsi="Calibri" w:cs="Times New Roman"/>
                <w:sz w:val="22"/>
                <w:szCs w:val="22"/>
              </w:rPr>
              <w:t>All patients (n=215)</w:t>
            </w:r>
          </w:p>
        </w:tc>
        <w:tc>
          <w:tcPr>
            <w:tcW w:w="1620" w:type="dxa"/>
            <w:vAlign w:val="center"/>
          </w:tcPr>
          <w:p w14:paraId="3FD22D21" w14:textId="77777777" w:rsidR="006D2226" w:rsidRPr="004C0AA0" w:rsidRDefault="006D2226" w:rsidP="001C646A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4C0AA0">
              <w:rPr>
                <w:rFonts w:ascii="Calibri" w:hAnsi="Calibri" w:cs="Times New Roman"/>
                <w:sz w:val="22"/>
                <w:szCs w:val="22"/>
              </w:rPr>
              <w:t>Without glucocorticoids (n=103)</w:t>
            </w:r>
          </w:p>
        </w:tc>
        <w:tc>
          <w:tcPr>
            <w:tcW w:w="1543" w:type="dxa"/>
            <w:vAlign w:val="center"/>
          </w:tcPr>
          <w:p w14:paraId="7D1A2FF2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With glucocorticoids (n=112)</w:t>
            </w:r>
          </w:p>
        </w:tc>
        <w:tc>
          <w:tcPr>
            <w:tcW w:w="977" w:type="dxa"/>
            <w:vAlign w:val="center"/>
          </w:tcPr>
          <w:p w14:paraId="70AE5983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P value</w:t>
            </w:r>
          </w:p>
        </w:tc>
      </w:tr>
      <w:tr w:rsidR="006D2226" w:rsidRPr="004C0AA0" w14:paraId="6E310CD5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633A35E0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Intraoperative opioids</w:t>
            </w:r>
          </w:p>
        </w:tc>
        <w:tc>
          <w:tcPr>
            <w:tcW w:w="1630" w:type="dxa"/>
            <w:vAlign w:val="center"/>
          </w:tcPr>
          <w:p w14:paraId="4B31AF83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</w:p>
        </w:tc>
        <w:tc>
          <w:tcPr>
            <w:tcW w:w="1620" w:type="dxa"/>
            <w:vAlign w:val="center"/>
          </w:tcPr>
          <w:p w14:paraId="4C2705F6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</w:p>
        </w:tc>
        <w:tc>
          <w:tcPr>
            <w:tcW w:w="1543" w:type="dxa"/>
            <w:vAlign w:val="center"/>
          </w:tcPr>
          <w:p w14:paraId="101C9240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</w:p>
        </w:tc>
        <w:tc>
          <w:tcPr>
            <w:tcW w:w="977" w:type="dxa"/>
            <w:vAlign w:val="center"/>
          </w:tcPr>
          <w:p w14:paraId="33235999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</w:p>
        </w:tc>
      </w:tr>
      <w:tr w:rsidR="006D2226" w:rsidRPr="004C0AA0" w14:paraId="39846D9B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6AC647CE" w14:textId="77777777" w:rsidR="006D2226" w:rsidRPr="004C0AA0" w:rsidRDefault="006D2226" w:rsidP="001C646A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Fentanyl</w:t>
            </w:r>
          </w:p>
        </w:tc>
        <w:tc>
          <w:tcPr>
            <w:tcW w:w="1630" w:type="dxa"/>
            <w:vAlign w:val="center"/>
          </w:tcPr>
          <w:p w14:paraId="53BD9090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76 (35.3%)</w:t>
            </w:r>
          </w:p>
        </w:tc>
        <w:tc>
          <w:tcPr>
            <w:tcW w:w="1620" w:type="dxa"/>
            <w:vAlign w:val="center"/>
          </w:tcPr>
          <w:p w14:paraId="2A5FBF5A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42 (40.8%)</w:t>
            </w:r>
          </w:p>
        </w:tc>
        <w:tc>
          <w:tcPr>
            <w:tcW w:w="1543" w:type="dxa"/>
            <w:vAlign w:val="center"/>
          </w:tcPr>
          <w:p w14:paraId="363CADC6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34 (30.4%)</w:t>
            </w:r>
          </w:p>
        </w:tc>
        <w:tc>
          <w:tcPr>
            <w:tcW w:w="977" w:type="dxa"/>
            <w:vAlign w:val="center"/>
          </w:tcPr>
          <w:p w14:paraId="50E342BF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0.118</w:t>
            </w:r>
          </w:p>
        </w:tc>
      </w:tr>
      <w:tr w:rsidR="006D2226" w:rsidRPr="004C0AA0" w14:paraId="6D6F1D53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286DB371" w14:textId="77777777" w:rsidR="006D2226" w:rsidRPr="004C0AA0" w:rsidRDefault="006D2226" w:rsidP="001C646A">
            <w:pPr>
              <w:pStyle w:val="NoSpacing1"/>
              <w:snapToGrid/>
              <w:ind w:firstLineChars="200" w:firstLine="440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Fentanyl dosage (ug)</w:t>
            </w:r>
            <w:r w:rsidRPr="004C0AA0">
              <w:rPr>
                <w:rFonts w:ascii="Calibri" w:hAnsi="Calibri"/>
                <w:vertAlign w:val="superscript"/>
              </w:rPr>
              <w:t>a</w:t>
            </w:r>
          </w:p>
        </w:tc>
        <w:tc>
          <w:tcPr>
            <w:tcW w:w="1630" w:type="dxa"/>
            <w:vAlign w:val="center"/>
          </w:tcPr>
          <w:p w14:paraId="1389D19E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150 (100-200)</w:t>
            </w:r>
          </w:p>
        </w:tc>
        <w:tc>
          <w:tcPr>
            <w:tcW w:w="1620" w:type="dxa"/>
            <w:vAlign w:val="center"/>
          </w:tcPr>
          <w:p w14:paraId="293B4C87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200 (100-200)</w:t>
            </w:r>
          </w:p>
        </w:tc>
        <w:tc>
          <w:tcPr>
            <w:tcW w:w="1543" w:type="dxa"/>
            <w:vAlign w:val="center"/>
          </w:tcPr>
          <w:p w14:paraId="62F39E5F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120 (100-200)</w:t>
            </w:r>
          </w:p>
        </w:tc>
        <w:tc>
          <w:tcPr>
            <w:tcW w:w="977" w:type="dxa"/>
            <w:vAlign w:val="center"/>
          </w:tcPr>
          <w:p w14:paraId="370F9FB8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0.049</w:t>
            </w:r>
          </w:p>
        </w:tc>
      </w:tr>
      <w:tr w:rsidR="006D2226" w:rsidRPr="004C0AA0" w14:paraId="281CD1DE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5AC4DDEE" w14:textId="77777777" w:rsidR="006D2226" w:rsidRPr="004C0AA0" w:rsidRDefault="006D2226" w:rsidP="001C646A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Sufentanil</w:t>
            </w:r>
          </w:p>
        </w:tc>
        <w:tc>
          <w:tcPr>
            <w:tcW w:w="1630" w:type="dxa"/>
            <w:vAlign w:val="center"/>
          </w:tcPr>
          <w:p w14:paraId="4D82D923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139 (64.7%)</w:t>
            </w:r>
          </w:p>
        </w:tc>
        <w:tc>
          <w:tcPr>
            <w:tcW w:w="1620" w:type="dxa"/>
            <w:vAlign w:val="center"/>
          </w:tcPr>
          <w:p w14:paraId="2FD10036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62 (60.2%)</w:t>
            </w:r>
          </w:p>
        </w:tc>
        <w:tc>
          <w:tcPr>
            <w:tcW w:w="1543" w:type="dxa"/>
            <w:vAlign w:val="center"/>
          </w:tcPr>
          <w:p w14:paraId="0001F20F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77 (68.8%)</w:t>
            </w:r>
          </w:p>
        </w:tc>
        <w:tc>
          <w:tcPr>
            <w:tcW w:w="977" w:type="dxa"/>
            <w:vAlign w:val="center"/>
          </w:tcPr>
          <w:p w14:paraId="65AFE624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0.202</w:t>
            </w:r>
          </w:p>
        </w:tc>
      </w:tr>
      <w:tr w:rsidR="006D2226" w:rsidRPr="004C0AA0" w14:paraId="47EB5761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74ABEA5E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 xml:space="preserve">    Sufentanil dose (ug)</w:t>
            </w:r>
            <w:r w:rsidRPr="004C0AA0">
              <w:rPr>
                <w:rFonts w:ascii="Calibri" w:hAnsi="Calibri"/>
                <w:vertAlign w:val="superscript"/>
              </w:rPr>
              <w:t xml:space="preserve"> a</w:t>
            </w:r>
          </w:p>
        </w:tc>
        <w:tc>
          <w:tcPr>
            <w:tcW w:w="1630" w:type="dxa"/>
            <w:vAlign w:val="center"/>
          </w:tcPr>
          <w:p w14:paraId="024B0540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20 (15-30)</w:t>
            </w:r>
          </w:p>
        </w:tc>
        <w:tc>
          <w:tcPr>
            <w:tcW w:w="1620" w:type="dxa"/>
            <w:vAlign w:val="center"/>
          </w:tcPr>
          <w:p w14:paraId="13150759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25 (20-30)</w:t>
            </w:r>
          </w:p>
        </w:tc>
        <w:tc>
          <w:tcPr>
            <w:tcW w:w="1543" w:type="dxa"/>
            <w:vAlign w:val="center"/>
          </w:tcPr>
          <w:p w14:paraId="28C7A36C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20 (15-30)</w:t>
            </w:r>
          </w:p>
        </w:tc>
        <w:tc>
          <w:tcPr>
            <w:tcW w:w="977" w:type="dxa"/>
            <w:vAlign w:val="center"/>
          </w:tcPr>
          <w:p w14:paraId="0DD538A9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0.888</w:t>
            </w:r>
          </w:p>
        </w:tc>
      </w:tr>
      <w:tr w:rsidR="006D2226" w:rsidRPr="004C0AA0" w14:paraId="58A74C72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2A83EF9E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 xml:space="preserve">  Oxycodone</w:t>
            </w:r>
          </w:p>
        </w:tc>
        <w:tc>
          <w:tcPr>
            <w:tcW w:w="1630" w:type="dxa"/>
            <w:vAlign w:val="center"/>
          </w:tcPr>
          <w:p w14:paraId="228C4FE6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36 (16.7%)</w:t>
            </w:r>
          </w:p>
        </w:tc>
        <w:tc>
          <w:tcPr>
            <w:tcW w:w="1620" w:type="dxa"/>
            <w:vAlign w:val="center"/>
          </w:tcPr>
          <w:p w14:paraId="7BE1F9AD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8 (7.8%)</w:t>
            </w:r>
          </w:p>
        </w:tc>
        <w:tc>
          <w:tcPr>
            <w:tcW w:w="1543" w:type="dxa"/>
            <w:vAlign w:val="center"/>
          </w:tcPr>
          <w:p w14:paraId="27345ADC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28 (25.0%)</w:t>
            </w:r>
          </w:p>
        </w:tc>
        <w:tc>
          <w:tcPr>
            <w:tcW w:w="977" w:type="dxa"/>
            <w:vAlign w:val="center"/>
          </w:tcPr>
          <w:p w14:paraId="1E8E6AE3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0.001</w:t>
            </w:r>
          </w:p>
        </w:tc>
      </w:tr>
      <w:tr w:rsidR="006D2226" w:rsidRPr="004C0AA0" w14:paraId="1A7BA6C0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252CA448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 xml:space="preserve">    Oxycodone dose (mg)</w:t>
            </w:r>
            <w:r w:rsidRPr="004C0AA0">
              <w:rPr>
                <w:rFonts w:ascii="Calibri" w:hAnsi="Calibri"/>
                <w:vertAlign w:val="superscript"/>
              </w:rPr>
              <w:t>a</w:t>
            </w:r>
          </w:p>
        </w:tc>
        <w:tc>
          <w:tcPr>
            <w:tcW w:w="1630" w:type="dxa"/>
            <w:vAlign w:val="center"/>
          </w:tcPr>
          <w:p w14:paraId="3CA72317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12 (5-20)</w:t>
            </w:r>
          </w:p>
        </w:tc>
        <w:tc>
          <w:tcPr>
            <w:tcW w:w="1620" w:type="dxa"/>
            <w:vAlign w:val="center"/>
          </w:tcPr>
          <w:p w14:paraId="72FA0763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10 (5-20)</w:t>
            </w:r>
          </w:p>
        </w:tc>
        <w:tc>
          <w:tcPr>
            <w:tcW w:w="1543" w:type="dxa"/>
            <w:vAlign w:val="center"/>
          </w:tcPr>
          <w:p w14:paraId="7CFA5F97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12 (10-20)</w:t>
            </w:r>
          </w:p>
        </w:tc>
        <w:tc>
          <w:tcPr>
            <w:tcW w:w="977" w:type="dxa"/>
            <w:vAlign w:val="center"/>
          </w:tcPr>
          <w:p w14:paraId="2C322329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0.005</w:t>
            </w:r>
          </w:p>
        </w:tc>
      </w:tr>
      <w:tr w:rsidR="006D2226" w:rsidRPr="004C0AA0" w14:paraId="580668B6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14B8D8D6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 xml:space="preserve">  Dezocine</w:t>
            </w:r>
          </w:p>
        </w:tc>
        <w:tc>
          <w:tcPr>
            <w:tcW w:w="1630" w:type="dxa"/>
            <w:vAlign w:val="center"/>
          </w:tcPr>
          <w:p w14:paraId="12634F5B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58 (27.0%)</w:t>
            </w:r>
          </w:p>
        </w:tc>
        <w:tc>
          <w:tcPr>
            <w:tcW w:w="1620" w:type="dxa"/>
            <w:vAlign w:val="center"/>
          </w:tcPr>
          <w:p w14:paraId="06E7FFB9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17 (16.5%)</w:t>
            </w:r>
          </w:p>
        </w:tc>
        <w:tc>
          <w:tcPr>
            <w:tcW w:w="1543" w:type="dxa"/>
            <w:vAlign w:val="center"/>
          </w:tcPr>
          <w:p w14:paraId="0D4A0F63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41 (36.6%)</w:t>
            </w:r>
          </w:p>
        </w:tc>
        <w:tc>
          <w:tcPr>
            <w:tcW w:w="977" w:type="dxa"/>
            <w:vAlign w:val="center"/>
          </w:tcPr>
          <w:p w14:paraId="6D3CFEC3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0.001</w:t>
            </w:r>
          </w:p>
        </w:tc>
      </w:tr>
      <w:tr w:rsidR="006D2226" w:rsidRPr="004C0AA0" w14:paraId="52A9B4F0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08EC0149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 xml:space="preserve">    Dezocine dose (mg)</w:t>
            </w:r>
            <w:r w:rsidRPr="004C0AA0">
              <w:rPr>
                <w:rFonts w:ascii="Calibri" w:hAnsi="Calibri"/>
                <w:vertAlign w:val="superscript"/>
              </w:rPr>
              <w:t xml:space="preserve"> a</w:t>
            </w:r>
          </w:p>
        </w:tc>
        <w:tc>
          <w:tcPr>
            <w:tcW w:w="1630" w:type="dxa"/>
            <w:vAlign w:val="center"/>
          </w:tcPr>
          <w:p w14:paraId="60FA07F6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10 (10-18)</w:t>
            </w:r>
          </w:p>
        </w:tc>
        <w:tc>
          <w:tcPr>
            <w:tcW w:w="1620" w:type="dxa"/>
            <w:vAlign w:val="center"/>
          </w:tcPr>
          <w:p w14:paraId="73105C47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10 (10-12)</w:t>
            </w:r>
          </w:p>
        </w:tc>
        <w:tc>
          <w:tcPr>
            <w:tcW w:w="1543" w:type="dxa"/>
            <w:vAlign w:val="center"/>
          </w:tcPr>
          <w:p w14:paraId="55B10FEB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10 (10-20)</w:t>
            </w:r>
          </w:p>
        </w:tc>
        <w:tc>
          <w:tcPr>
            <w:tcW w:w="977" w:type="dxa"/>
            <w:vAlign w:val="center"/>
          </w:tcPr>
          <w:p w14:paraId="04BC9B97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&lt;0.001</w:t>
            </w:r>
          </w:p>
        </w:tc>
      </w:tr>
      <w:tr w:rsidR="006D2226" w:rsidRPr="004C0AA0" w14:paraId="264E6FD9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538F4729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Postoperative opioids</w:t>
            </w:r>
          </w:p>
        </w:tc>
        <w:tc>
          <w:tcPr>
            <w:tcW w:w="1630" w:type="dxa"/>
            <w:vAlign w:val="center"/>
          </w:tcPr>
          <w:p w14:paraId="3AA9BFEB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</w:p>
        </w:tc>
        <w:tc>
          <w:tcPr>
            <w:tcW w:w="1620" w:type="dxa"/>
            <w:vAlign w:val="center"/>
          </w:tcPr>
          <w:p w14:paraId="1D3473EA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</w:p>
        </w:tc>
        <w:tc>
          <w:tcPr>
            <w:tcW w:w="1543" w:type="dxa"/>
            <w:vAlign w:val="center"/>
          </w:tcPr>
          <w:p w14:paraId="004F8DCF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</w:p>
        </w:tc>
        <w:tc>
          <w:tcPr>
            <w:tcW w:w="977" w:type="dxa"/>
            <w:vAlign w:val="center"/>
          </w:tcPr>
          <w:p w14:paraId="070001B7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</w:p>
        </w:tc>
      </w:tr>
      <w:tr w:rsidR="006D2226" w:rsidRPr="004C0AA0" w14:paraId="6EBAA6AE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2A2599B0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 xml:space="preserve">  None </w:t>
            </w:r>
            <w:r w:rsidRPr="004C0AA0">
              <w:rPr>
                <w:rFonts w:ascii="Calibri" w:hAnsi="Calibri"/>
                <w:vertAlign w:val="superscript"/>
              </w:rPr>
              <w:t>b</w:t>
            </w:r>
          </w:p>
        </w:tc>
        <w:tc>
          <w:tcPr>
            <w:tcW w:w="1630" w:type="dxa"/>
            <w:vAlign w:val="center"/>
          </w:tcPr>
          <w:p w14:paraId="7F85B290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13 (6.0%)</w:t>
            </w:r>
          </w:p>
        </w:tc>
        <w:tc>
          <w:tcPr>
            <w:tcW w:w="1620" w:type="dxa"/>
            <w:vAlign w:val="center"/>
          </w:tcPr>
          <w:p w14:paraId="47203AA8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11 (10.7%)</w:t>
            </w:r>
          </w:p>
        </w:tc>
        <w:tc>
          <w:tcPr>
            <w:tcW w:w="1543" w:type="dxa"/>
            <w:vAlign w:val="center"/>
          </w:tcPr>
          <w:p w14:paraId="3A771653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2 (1.8%)</w:t>
            </w:r>
          </w:p>
        </w:tc>
        <w:tc>
          <w:tcPr>
            <w:tcW w:w="977" w:type="dxa"/>
            <w:vAlign w:val="center"/>
          </w:tcPr>
          <w:p w14:paraId="05A03916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0.008</w:t>
            </w:r>
          </w:p>
        </w:tc>
      </w:tr>
      <w:tr w:rsidR="006D2226" w:rsidRPr="004C0AA0" w14:paraId="275FBA49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09994911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 xml:space="preserve">  Morphine</w:t>
            </w:r>
          </w:p>
        </w:tc>
        <w:tc>
          <w:tcPr>
            <w:tcW w:w="1630" w:type="dxa"/>
            <w:vAlign w:val="center"/>
          </w:tcPr>
          <w:p w14:paraId="5894BB5C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12 (5.6%)</w:t>
            </w:r>
          </w:p>
        </w:tc>
        <w:tc>
          <w:tcPr>
            <w:tcW w:w="1620" w:type="dxa"/>
            <w:vAlign w:val="center"/>
          </w:tcPr>
          <w:p w14:paraId="5CE49C60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7 (6.8%)</w:t>
            </w:r>
          </w:p>
        </w:tc>
        <w:tc>
          <w:tcPr>
            <w:tcW w:w="1543" w:type="dxa"/>
            <w:vAlign w:val="center"/>
          </w:tcPr>
          <w:p w14:paraId="494FF48D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5 (4.5%)</w:t>
            </w:r>
          </w:p>
        </w:tc>
        <w:tc>
          <w:tcPr>
            <w:tcW w:w="977" w:type="dxa"/>
            <w:vAlign w:val="center"/>
          </w:tcPr>
          <w:p w14:paraId="1B65B1B9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0.558</w:t>
            </w:r>
          </w:p>
        </w:tc>
      </w:tr>
      <w:tr w:rsidR="006D2226" w:rsidRPr="004C0AA0" w14:paraId="0F9B5BB9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1E7A3F37" w14:textId="77777777" w:rsidR="006D2226" w:rsidRPr="004C0AA0" w:rsidRDefault="006D2226" w:rsidP="001C646A">
            <w:pPr>
              <w:pStyle w:val="NoSpacing1"/>
              <w:snapToGrid/>
              <w:ind w:firstLineChars="200" w:firstLine="440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Morphine dose (mg)</w:t>
            </w:r>
            <w:r w:rsidRPr="004C0AA0">
              <w:rPr>
                <w:rFonts w:ascii="Calibri" w:hAnsi="Calibri"/>
                <w:vertAlign w:val="superscript"/>
              </w:rPr>
              <w:t xml:space="preserve"> a</w:t>
            </w:r>
          </w:p>
        </w:tc>
        <w:tc>
          <w:tcPr>
            <w:tcW w:w="1630" w:type="dxa"/>
            <w:vAlign w:val="center"/>
          </w:tcPr>
          <w:p w14:paraId="52D7D967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30 (10-100)</w:t>
            </w:r>
          </w:p>
        </w:tc>
        <w:tc>
          <w:tcPr>
            <w:tcW w:w="1620" w:type="dxa"/>
            <w:vAlign w:val="center"/>
          </w:tcPr>
          <w:p w14:paraId="3DBC15A4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50 (8-100)</w:t>
            </w:r>
          </w:p>
        </w:tc>
        <w:tc>
          <w:tcPr>
            <w:tcW w:w="1543" w:type="dxa"/>
            <w:vAlign w:val="center"/>
          </w:tcPr>
          <w:p w14:paraId="73970A85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30 (10-100)</w:t>
            </w:r>
          </w:p>
        </w:tc>
        <w:tc>
          <w:tcPr>
            <w:tcW w:w="977" w:type="dxa"/>
            <w:vAlign w:val="center"/>
          </w:tcPr>
          <w:p w14:paraId="047B7746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0.500</w:t>
            </w:r>
          </w:p>
        </w:tc>
      </w:tr>
      <w:tr w:rsidR="006D2226" w:rsidRPr="004C0AA0" w14:paraId="0FB2F0B1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561A90E3" w14:textId="77777777" w:rsidR="006D2226" w:rsidRPr="004C0AA0" w:rsidRDefault="006D2226" w:rsidP="001C646A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Fentanyl</w:t>
            </w:r>
          </w:p>
        </w:tc>
        <w:tc>
          <w:tcPr>
            <w:tcW w:w="1630" w:type="dxa"/>
            <w:vAlign w:val="center"/>
          </w:tcPr>
          <w:p w14:paraId="543535A5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5 (2.3%)</w:t>
            </w:r>
          </w:p>
        </w:tc>
        <w:tc>
          <w:tcPr>
            <w:tcW w:w="1620" w:type="dxa"/>
            <w:vAlign w:val="center"/>
          </w:tcPr>
          <w:p w14:paraId="1857EB56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2 (1.9%)</w:t>
            </w:r>
          </w:p>
        </w:tc>
        <w:tc>
          <w:tcPr>
            <w:tcW w:w="1543" w:type="dxa"/>
            <w:vAlign w:val="center"/>
          </w:tcPr>
          <w:p w14:paraId="7FEC0766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3 (2.7%)</w:t>
            </w:r>
          </w:p>
        </w:tc>
        <w:tc>
          <w:tcPr>
            <w:tcW w:w="977" w:type="dxa"/>
            <w:vAlign w:val="center"/>
          </w:tcPr>
          <w:p w14:paraId="1CE4C6FF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&gt;0.999</w:t>
            </w:r>
          </w:p>
        </w:tc>
      </w:tr>
      <w:tr w:rsidR="006D2226" w:rsidRPr="004C0AA0" w14:paraId="1988E5BE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5EC877C9" w14:textId="77777777" w:rsidR="006D2226" w:rsidRPr="004C0AA0" w:rsidRDefault="006D2226" w:rsidP="001C646A">
            <w:pPr>
              <w:pStyle w:val="NoSpacing1"/>
              <w:snapToGrid/>
              <w:ind w:firstLineChars="200" w:firstLine="440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Fentanyl dosage (ug)</w:t>
            </w:r>
            <w:r w:rsidRPr="004C0AA0">
              <w:rPr>
                <w:rFonts w:ascii="Calibri" w:hAnsi="Calibri"/>
                <w:vertAlign w:val="superscript"/>
              </w:rPr>
              <w:t xml:space="preserve"> a</w:t>
            </w:r>
          </w:p>
        </w:tc>
        <w:tc>
          <w:tcPr>
            <w:tcW w:w="1630" w:type="dxa"/>
            <w:vAlign w:val="center"/>
          </w:tcPr>
          <w:p w14:paraId="4BA850C8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500 (400-500)</w:t>
            </w:r>
          </w:p>
        </w:tc>
        <w:tc>
          <w:tcPr>
            <w:tcW w:w="1620" w:type="dxa"/>
            <w:vAlign w:val="center"/>
          </w:tcPr>
          <w:p w14:paraId="132FDEAD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500 (200-500)</w:t>
            </w:r>
          </w:p>
        </w:tc>
        <w:tc>
          <w:tcPr>
            <w:tcW w:w="1543" w:type="dxa"/>
            <w:vAlign w:val="center"/>
          </w:tcPr>
          <w:p w14:paraId="2E7E5A68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500 (400-500)</w:t>
            </w:r>
          </w:p>
        </w:tc>
        <w:tc>
          <w:tcPr>
            <w:tcW w:w="977" w:type="dxa"/>
            <w:vAlign w:val="center"/>
          </w:tcPr>
          <w:p w14:paraId="405F0D2A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0.527</w:t>
            </w:r>
          </w:p>
        </w:tc>
      </w:tr>
      <w:tr w:rsidR="006D2226" w:rsidRPr="004C0AA0" w14:paraId="37E69871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33E26990" w14:textId="77777777" w:rsidR="006D2226" w:rsidRPr="004C0AA0" w:rsidRDefault="006D2226" w:rsidP="001C646A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Sufentanil</w:t>
            </w:r>
          </w:p>
        </w:tc>
        <w:tc>
          <w:tcPr>
            <w:tcW w:w="1630" w:type="dxa"/>
            <w:vAlign w:val="center"/>
          </w:tcPr>
          <w:p w14:paraId="0FF8945B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143 (66.5%)</w:t>
            </w:r>
          </w:p>
        </w:tc>
        <w:tc>
          <w:tcPr>
            <w:tcW w:w="1620" w:type="dxa"/>
            <w:vAlign w:val="center"/>
          </w:tcPr>
          <w:p w14:paraId="4E600EC5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65 (63.1%)</w:t>
            </w:r>
          </w:p>
        </w:tc>
        <w:tc>
          <w:tcPr>
            <w:tcW w:w="1543" w:type="dxa"/>
            <w:vAlign w:val="center"/>
          </w:tcPr>
          <w:p w14:paraId="56237FBF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78 (69.6%)</w:t>
            </w:r>
          </w:p>
        </w:tc>
        <w:tc>
          <w:tcPr>
            <w:tcW w:w="977" w:type="dxa"/>
            <w:vAlign w:val="center"/>
          </w:tcPr>
          <w:p w14:paraId="2AE8969C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0.316</w:t>
            </w:r>
          </w:p>
        </w:tc>
      </w:tr>
      <w:tr w:rsidR="006D2226" w:rsidRPr="004C0AA0" w14:paraId="10A33AEF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2473029D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 xml:space="preserve">    Sufentanil dose (ug)</w:t>
            </w:r>
            <w:r w:rsidRPr="004C0AA0">
              <w:rPr>
                <w:rFonts w:ascii="Calibri" w:hAnsi="Calibri"/>
                <w:vertAlign w:val="superscript"/>
              </w:rPr>
              <w:t xml:space="preserve"> a</w:t>
            </w:r>
          </w:p>
        </w:tc>
        <w:tc>
          <w:tcPr>
            <w:tcW w:w="1630" w:type="dxa"/>
            <w:vAlign w:val="center"/>
          </w:tcPr>
          <w:p w14:paraId="6B381986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300 (225-300)</w:t>
            </w:r>
          </w:p>
        </w:tc>
        <w:tc>
          <w:tcPr>
            <w:tcW w:w="1620" w:type="dxa"/>
            <w:vAlign w:val="center"/>
          </w:tcPr>
          <w:p w14:paraId="6238175F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300 (225-300)</w:t>
            </w:r>
          </w:p>
        </w:tc>
        <w:tc>
          <w:tcPr>
            <w:tcW w:w="1543" w:type="dxa"/>
            <w:vAlign w:val="center"/>
          </w:tcPr>
          <w:p w14:paraId="1CE594B8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300 (225-300)</w:t>
            </w:r>
          </w:p>
        </w:tc>
        <w:tc>
          <w:tcPr>
            <w:tcW w:w="977" w:type="dxa"/>
            <w:vAlign w:val="center"/>
          </w:tcPr>
          <w:p w14:paraId="2E871E54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0.526</w:t>
            </w:r>
          </w:p>
        </w:tc>
      </w:tr>
      <w:tr w:rsidR="006D2226" w:rsidRPr="004C0AA0" w14:paraId="6B8F8E8B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6118A210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 xml:space="preserve">  Oxycodone</w:t>
            </w:r>
          </w:p>
        </w:tc>
        <w:tc>
          <w:tcPr>
            <w:tcW w:w="1630" w:type="dxa"/>
            <w:vAlign w:val="center"/>
          </w:tcPr>
          <w:p w14:paraId="090E2558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23 (10.7%)</w:t>
            </w:r>
          </w:p>
        </w:tc>
        <w:tc>
          <w:tcPr>
            <w:tcW w:w="1620" w:type="dxa"/>
            <w:vAlign w:val="center"/>
          </w:tcPr>
          <w:p w14:paraId="7EBB5929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5 (4.9%)</w:t>
            </w:r>
          </w:p>
        </w:tc>
        <w:tc>
          <w:tcPr>
            <w:tcW w:w="1543" w:type="dxa"/>
            <w:vAlign w:val="center"/>
          </w:tcPr>
          <w:p w14:paraId="745882EF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18 (16.1%)</w:t>
            </w:r>
          </w:p>
        </w:tc>
        <w:tc>
          <w:tcPr>
            <w:tcW w:w="977" w:type="dxa"/>
            <w:vAlign w:val="center"/>
          </w:tcPr>
          <w:p w14:paraId="02A41393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0.008</w:t>
            </w:r>
          </w:p>
        </w:tc>
      </w:tr>
      <w:tr w:rsidR="006D2226" w:rsidRPr="004C0AA0" w14:paraId="382B6D4C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7D5C67C6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 xml:space="preserve">    Oxycodone dose (mg)</w:t>
            </w:r>
            <w:r w:rsidRPr="004C0AA0">
              <w:rPr>
                <w:rFonts w:ascii="Calibri" w:hAnsi="Calibri"/>
                <w:vertAlign w:val="superscript"/>
              </w:rPr>
              <w:t>a</w:t>
            </w:r>
          </w:p>
        </w:tc>
        <w:tc>
          <w:tcPr>
            <w:tcW w:w="1630" w:type="dxa"/>
            <w:vAlign w:val="center"/>
          </w:tcPr>
          <w:p w14:paraId="5D0622D2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30 (20-40)</w:t>
            </w:r>
          </w:p>
        </w:tc>
        <w:tc>
          <w:tcPr>
            <w:tcW w:w="1620" w:type="dxa"/>
            <w:vAlign w:val="center"/>
          </w:tcPr>
          <w:p w14:paraId="4F72B0EC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60 (40-75)</w:t>
            </w:r>
          </w:p>
        </w:tc>
        <w:tc>
          <w:tcPr>
            <w:tcW w:w="1543" w:type="dxa"/>
            <w:vAlign w:val="center"/>
          </w:tcPr>
          <w:p w14:paraId="7DFA3761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20 (20-30)</w:t>
            </w:r>
          </w:p>
        </w:tc>
        <w:tc>
          <w:tcPr>
            <w:tcW w:w="977" w:type="dxa"/>
            <w:vAlign w:val="center"/>
          </w:tcPr>
          <w:p w14:paraId="032B88CA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0.298</w:t>
            </w:r>
          </w:p>
        </w:tc>
      </w:tr>
      <w:tr w:rsidR="006D2226" w:rsidRPr="004C0AA0" w14:paraId="51FDBE0E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750CD420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 xml:space="preserve">  Dezocine</w:t>
            </w:r>
          </w:p>
        </w:tc>
        <w:tc>
          <w:tcPr>
            <w:tcW w:w="1630" w:type="dxa"/>
            <w:vAlign w:val="center"/>
          </w:tcPr>
          <w:p w14:paraId="0832C677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65 (30.2%)</w:t>
            </w:r>
          </w:p>
        </w:tc>
        <w:tc>
          <w:tcPr>
            <w:tcW w:w="1620" w:type="dxa"/>
            <w:vAlign w:val="center"/>
          </w:tcPr>
          <w:p w14:paraId="1EF47A01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22 (21.4%)</w:t>
            </w:r>
          </w:p>
        </w:tc>
        <w:tc>
          <w:tcPr>
            <w:tcW w:w="1543" w:type="dxa"/>
            <w:vAlign w:val="center"/>
          </w:tcPr>
          <w:p w14:paraId="23F949BD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43 (38.4%)</w:t>
            </w:r>
          </w:p>
        </w:tc>
        <w:tc>
          <w:tcPr>
            <w:tcW w:w="977" w:type="dxa"/>
            <w:vAlign w:val="center"/>
          </w:tcPr>
          <w:p w14:paraId="2D8E952E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0.008</w:t>
            </w:r>
          </w:p>
        </w:tc>
      </w:tr>
      <w:tr w:rsidR="006D2226" w:rsidRPr="004C0AA0" w14:paraId="0A45E7FA" w14:textId="77777777" w:rsidTr="006D2226">
        <w:trPr>
          <w:trHeight w:val="340"/>
        </w:trPr>
        <w:tc>
          <w:tcPr>
            <w:tcW w:w="2690" w:type="dxa"/>
            <w:vAlign w:val="center"/>
          </w:tcPr>
          <w:p w14:paraId="0E710FB5" w14:textId="77777777" w:rsidR="006D2226" w:rsidRPr="004C0AA0" w:rsidRDefault="006D2226" w:rsidP="001C646A">
            <w:pPr>
              <w:pStyle w:val="NoSpacing1"/>
              <w:snapToGrid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 xml:space="preserve">    Dezocine dose (mg)</w:t>
            </w:r>
            <w:r w:rsidRPr="004C0AA0">
              <w:rPr>
                <w:rFonts w:ascii="Calibri" w:hAnsi="Calibri"/>
                <w:vertAlign w:val="superscript"/>
              </w:rPr>
              <w:t xml:space="preserve"> a</w:t>
            </w:r>
          </w:p>
        </w:tc>
        <w:tc>
          <w:tcPr>
            <w:tcW w:w="1630" w:type="dxa"/>
            <w:vAlign w:val="center"/>
          </w:tcPr>
          <w:p w14:paraId="22744675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65 (55-70)</w:t>
            </w:r>
          </w:p>
        </w:tc>
        <w:tc>
          <w:tcPr>
            <w:tcW w:w="1620" w:type="dxa"/>
            <w:vAlign w:val="center"/>
          </w:tcPr>
          <w:p w14:paraId="61BFB6B7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60 (50-70)</w:t>
            </w:r>
          </w:p>
        </w:tc>
        <w:tc>
          <w:tcPr>
            <w:tcW w:w="1543" w:type="dxa"/>
            <w:vAlign w:val="center"/>
          </w:tcPr>
          <w:p w14:paraId="12D17DE0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65 (60-70)</w:t>
            </w:r>
          </w:p>
        </w:tc>
        <w:tc>
          <w:tcPr>
            <w:tcW w:w="977" w:type="dxa"/>
            <w:vAlign w:val="center"/>
          </w:tcPr>
          <w:p w14:paraId="09D6A35D" w14:textId="77777777" w:rsidR="006D2226" w:rsidRPr="004C0AA0" w:rsidRDefault="006D2226" w:rsidP="001C646A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C0AA0">
              <w:rPr>
                <w:rFonts w:ascii="Calibri" w:hAnsi="Calibri"/>
              </w:rPr>
              <w:t>0.007</w:t>
            </w:r>
          </w:p>
        </w:tc>
      </w:tr>
    </w:tbl>
    <w:p w14:paraId="36E11659" w14:textId="77777777" w:rsidR="006D2226" w:rsidRPr="004C0AA0" w:rsidRDefault="006D2226" w:rsidP="00946699">
      <w:pPr>
        <w:widowControl/>
        <w:spacing w:line="360" w:lineRule="auto"/>
        <w:jc w:val="left"/>
        <w:rPr>
          <w:rFonts w:ascii="Calibri" w:hAnsi="Calibri" w:cs="Times New Roman"/>
          <w:kern w:val="0"/>
          <w:sz w:val="22"/>
          <w:szCs w:val="22"/>
        </w:rPr>
      </w:pPr>
      <w:r w:rsidRPr="004C0AA0">
        <w:rPr>
          <w:rFonts w:ascii="Calibri" w:hAnsi="Calibri" w:cs="Times New Roman"/>
          <w:kern w:val="0"/>
          <w:sz w:val="22"/>
          <w:szCs w:val="22"/>
        </w:rPr>
        <w:t>Results are presented as number (%) or median (interquartile range).</w:t>
      </w:r>
    </w:p>
    <w:p w14:paraId="74231478" w14:textId="77777777" w:rsidR="006D2226" w:rsidRPr="004C0AA0" w:rsidRDefault="006D2226" w:rsidP="00946699">
      <w:pPr>
        <w:spacing w:line="360" w:lineRule="auto"/>
        <w:rPr>
          <w:rFonts w:ascii="Calibri" w:hAnsi="Calibri" w:cs="Times New Roman"/>
          <w:kern w:val="0"/>
          <w:sz w:val="22"/>
          <w:szCs w:val="22"/>
        </w:rPr>
      </w:pPr>
      <w:r w:rsidRPr="004C0AA0">
        <w:rPr>
          <w:rFonts w:ascii="Calibri" w:hAnsi="Calibri" w:cs="Times New Roman"/>
          <w:kern w:val="0"/>
          <w:sz w:val="22"/>
          <w:szCs w:val="22"/>
          <w:vertAlign w:val="superscript"/>
        </w:rPr>
        <w:t>a</w:t>
      </w:r>
      <w:r w:rsidRPr="004C0AA0">
        <w:rPr>
          <w:rFonts w:ascii="Calibri" w:hAnsi="Calibri" w:cs="Times New Roman"/>
          <w:kern w:val="0"/>
          <w:sz w:val="22"/>
          <w:szCs w:val="22"/>
        </w:rPr>
        <w:t xml:space="preserve"> </w:t>
      </w:r>
      <w:r w:rsidRPr="004C0AA0">
        <w:rPr>
          <w:rFonts w:ascii="Calibri" w:hAnsi="Calibri" w:cs="Times New Roman"/>
          <w:sz w:val="22"/>
          <w:szCs w:val="22"/>
        </w:rPr>
        <w:t>Dose of patients who received the medication.</w:t>
      </w:r>
      <w:r w:rsidRPr="004C0AA0">
        <w:rPr>
          <w:rFonts w:ascii="Calibri" w:hAnsi="Calibri" w:cs="Times New Roman"/>
          <w:kern w:val="0"/>
          <w:sz w:val="22"/>
          <w:szCs w:val="22"/>
        </w:rPr>
        <w:t xml:space="preserve"> </w:t>
      </w:r>
    </w:p>
    <w:p w14:paraId="00D52C05" w14:textId="77777777" w:rsidR="006D2226" w:rsidRPr="004C0AA0" w:rsidRDefault="006D2226" w:rsidP="00946699">
      <w:pPr>
        <w:spacing w:line="360" w:lineRule="auto"/>
        <w:jc w:val="left"/>
        <w:rPr>
          <w:rFonts w:ascii="Calibri" w:hAnsi="Calibri" w:cs="Times New Roman"/>
          <w:sz w:val="22"/>
          <w:szCs w:val="22"/>
        </w:rPr>
      </w:pPr>
      <w:r w:rsidRPr="004C0AA0">
        <w:rPr>
          <w:rFonts w:ascii="Calibri" w:hAnsi="Calibri" w:cs="Times New Roman"/>
          <w:kern w:val="0"/>
          <w:sz w:val="22"/>
          <w:szCs w:val="22"/>
          <w:vertAlign w:val="superscript"/>
        </w:rPr>
        <w:t>b</w:t>
      </w:r>
      <w:r w:rsidRPr="004C0AA0">
        <w:rPr>
          <w:rFonts w:ascii="Calibri" w:hAnsi="Calibri" w:cs="Times New Roman"/>
          <w:kern w:val="0"/>
          <w:sz w:val="22"/>
          <w:szCs w:val="22"/>
        </w:rPr>
        <w:t xml:space="preserve"> These patients received epidural analgesia through epidural catheter and only local anesthetics were used.</w:t>
      </w:r>
    </w:p>
    <w:sectPr w:rsidR="006D2226" w:rsidRPr="004C0AA0">
      <w:headerReference w:type="even" r:id="rId6"/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5B4ED3" w14:textId="77777777" w:rsidR="0077305D" w:rsidRDefault="0077305D">
      <w:r>
        <w:separator/>
      </w:r>
    </w:p>
  </w:endnote>
  <w:endnote w:type="continuationSeparator" w:id="0">
    <w:p w14:paraId="486A0DFD" w14:textId="77777777" w:rsidR="0077305D" w:rsidRDefault="00773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9269EB" w14:textId="77777777" w:rsidR="0077305D" w:rsidRDefault="0077305D">
      <w:r>
        <w:separator/>
      </w:r>
    </w:p>
  </w:footnote>
  <w:footnote w:type="continuationSeparator" w:id="0">
    <w:p w14:paraId="0A5777A9" w14:textId="77777777" w:rsidR="0077305D" w:rsidRDefault="007730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B9FCBD" w14:textId="77777777" w:rsidR="001C646A" w:rsidRDefault="001C646A" w:rsidP="008D7C8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0B21AC24" w14:textId="77777777" w:rsidR="001C646A" w:rsidRDefault="001C646A" w:rsidP="004B35B0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A2A96B" w14:textId="77777777" w:rsidR="001C646A" w:rsidRDefault="001C646A" w:rsidP="008D7C8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14:paraId="574A24A5" w14:textId="77777777" w:rsidR="001C646A" w:rsidRDefault="001C646A" w:rsidP="004B35B0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557"/>
    <w:rsid w:val="001C646A"/>
    <w:rsid w:val="004B35B0"/>
    <w:rsid w:val="004C0AA0"/>
    <w:rsid w:val="006572A0"/>
    <w:rsid w:val="006D2226"/>
    <w:rsid w:val="0077305D"/>
    <w:rsid w:val="008D7C8E"/>
    <w:rsid w:val="00946699"/>
    <w:rsid w:val="00C94636"/>
    <w:rsid w:val="00EC1557"/>
    <w:rsid w:val="00F12E1D"/>
    <w:rsid w:val="2B08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895B99"/>
  <w15:chartTrackingRefBased/>
  <w15:docId w15:val="{C38656D1-A859-4728-A00A-3B3998B2C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="宋体"/>
      <w:kern w:val="2"/>
      <w:sz w:val="21"/>
      <w:szCs w:val="21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1">
    <w:name w:val="No Spacing1"/>
    <w:basedOn w:val="a"/>
    <w:uiPriority w:val="99"/>
    <w:qFormat/>
    <w:pPr>
      <w:widowControl/>
      <w:adjustRightInd w:val="0"/>
      <w:snapToGrid w:val="0"/>
      <w:jc w:val="left"/>
    </w:pPr>
    <w:rPr>
      <w:rFonts w:ascii="Tahoma" w:hAnsi="Tahoma" w:cs="Times New Roman"/>
      <w:kern w:val="0"/>
      <w:sz w:val="22"/>
      <w:szCs w:val="22"/>
    </w:rPr>
  </w:style>
  <w:style w:type="paragraph" w:styleId="a3">
    <w:name w:val="header"/>
    <w:basedOn w:val="a"/>
    <w:rsid w:val="004B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4">
    <w:name w:val="page number"/>
    <w:basedOn w:val="a0"/>
    <w:rsid w:val="004B35B0"/>
  </w:style>
  <w:style w:type="paragraph" w:styleId="a5">
    <w:name w:val="footer"/>
    <w:basedOn w:val="a"/>
    <w:link w:val="a6"/>
    <w:rsid w:val="00946699"/>
    <w:pPr>
      <w:tabs>
        <w:tab w:val="center" w:pos="4153"/>
        <w:tab w:val="right" w:pos="8306"/>
      </w:tabs>
      <w:snapToGrid w:val="0"/>
      <w:jc w:val="left"/>
    </w:pPr>
    <w:rPr>
      <w:rFonts w:cs="Angsana New"/>
      <w:sz w:val="18"/>
      <w:szCs w:val="22"/>
    </w:rPr>
  </w:style>
  <w:style w:type="character" w:customStyle="1" w:styleId="a6">
    <w:name w:val="页脚 字符"/>
    <w:basedOn w:val="a0"/>
    <w:link w:val="a5"/>
    <w:rsid w:val="00946699"/>
    <w:rPr>
      <w:rFonts w:ascii="宋体" w:hAnsi="宋体" w:cs="Angsana New"/>
      <w:kern w:val="2"/>
      <w:sz w:val="18"/>
      <w:szCs w:val="22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KT0100</dc:creator>
  <cp:keywords/>
  <cp:lastModifiedBy>Dong-Xin Wang</cp:lastModifiedBy>
  <cp:revision>2</cp:revision>
  <dcterms:created xsi:type="dcterms:W3CDTF">2020-03-28T12:38:00Z</dcterms:created>
  <dcterms:modified xsi:type="dcterms:W3CDTF">2020-03-28T12:38:00Z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